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4FCC" w:rsidRPr="00484FCC" w:rsidRDefault="00484FCC" w:rsidP="00484FCC">
      <w:pPr>
        <w:pStyle w:val="a3"/>
        <w:rPr>
          <w:szCs w:val="24"/>
          <w:lang w:val="ru-RU"/>
        </w:rPr>
      </w:pPr>
      <w:bookmarkStart w:id="0" w:name="_GoBack"/>
      <w:r w:rsidRPr="00484FCC">
        <w:rPr>
          <w:szCs w:val="24"/>
        </w:rPr>
        <w:t>Звіт</w:t>
      </w:r>
      <w:r w:rsidRPr="00484FCC">
        <w:rPr>
          <w:szCs w:val="24"/>
          <w:lang w:val="ru-RU"/>
        </w:rPr>
        <w:t xml:space="preserve"> </w:t>
      </w:r>
    </w:p>
    <w:p w:rsidR="00484FCC" w:rsidRPr="00484FCC" w:rsidRDefault="00484FCC" w:rsidP="00484FCC">
      <w:pPr>
        <w:pStyle w:val="a3"/>
        <w:rPr>
          <w:szCs w:val="24"/>
        </w:rPr>
      </w:pPr>
      <w:r w:rsidRPr="00484FCC">
        <w:rPr>
          <w:szCs w:val="24"/>
        </w:rPr>
        <w:t xml:space="preserve"> про відстеження результативності регуляторного акту</w:t>
      </w:r>
    </w:p>
    <w:p w:rsidR="00484FCC" w:rsidRPr="00484FCC" w:rsidRDefault="00484FCC" w:rsidP="00484FCC">
      <w:pPr>
        <w:spacing w:before="120"/>
        <w:jc w:val="both"/>
        <w:rPr>
          <w:rFonts w:ascii="Times New Roman" w:hAnsi="Times New Roman" w:cs="Times New Roman"/>
          <w:sz w:val="24"/>
          <w:szCs w:val="24"/>
          <w:lang w:val="uk-UA"/>
        </w:rPr>
      </w:pPr>
      <w:r w:rsidRPr="00484FCC">
        <w:rPr>
          <w:rFonts w:ascii="Times New Roman" w:hAnsi="Times New Roman" w:cs="Times New Roman"/>
          <w:color w:val="FF0000"/>
          <w:sz w:val="24"/>
          <w:szCs w:val="24"/>
          <w:lang w:val="uk-UA"/>
        </w:rPr>
        <w:tab/>
      </w:r>
      <w:r w:rsidRPr="00484FCC">
        <w:rPr>
          <w:rFonts w:ascii="Times New Roman" w:hAnsi="Times New Roman" w:cs="Times New Roman"/>
          <w:sz w:val="24"/>
          <w:szCs w:val="24"/>
          <w:lang w:val="uk-UA"/>
        </w:rPr>
        <w:t xml:space="preserve">1. </w:t>
      </w:r>
      <w:r w:rsidRPr="00484FCC">
        <w:rPr>
          <w:rFonts w:ascii="Times New Roman" w:hAnsi="Times New Roman" w:cs="Times New Roman"/>
          <w:sz w:val="24"/>
          <w:szCs w:val="24"/>
          <w:u w:val="single"/>
          <w:lang w:val="uk-UA"/>
        </w:rPr>
        <w:t>Вид та назва регуляторного акту</w:t>
      </w:r>
      <w:r w:rsidRPr="00484FCC">
        <w:rPr>
          <w:rFonts w:ascii="Times New Roman" w:hAnsi="Times New Roman" w:cs="Times New Roman"/>
          <w:sz w:val="24"/>
          <w:szCs w:val="24"/>
          <w:lang w:val="uk-UA"/>
        </w:rPr>
        <w:t xml:space="preserve">  рішення Южноукраїнської міської ради від 23.06.2021     № 501 «Про встановлення </w:t>
      </w:r>
      <w:r w:rsidRPr="00484FCC">
        <w:rPr>
          <w:rFonts w:ascii="Times New Roman" w:hAnsi="Times New Roman" w:cs="Times New Roman"/>
          <w:bCs/>
          <w:sz w:val="24"/>
          <w:szCs w:val="24"/>
          <w:shd w:val="clear" w:color="auto" w:fill="FFFFFF"/>
          <w:lang w:val="uk-UA"/>
        </w:rPr>
        <w:t>ставок та пільг із сплати податку на нерухоме майно, відмінне від земельної ділянки,</w:t>
      </w:r>
      <w:r w:rsidRPr="00484FCC">
        <w:rPr>
          <w:rFonts w:ascii="Times New Roman" w:hAnsi="Times New Roman" w:cs="Times New Roman"/>
          <w:sz w:val="24"/>
          <w:szCs w:val="24"/>
          <w:lang w:val="uk-UA"/>
        </w:rPr>
        <w:t xml:space="preserve"> </w:t>
      </w:r>
      <w:bookmarkStart w:id="1" w:name="_Hlk91603106"/>
      <w:r w:rsidRPr="00484FCC">
        <w:rPr>
          <w:rFonts w:ascii="Times New Roman" w:hAnsi="Times New Roman" w:cs="Times New Roman"/>
          <w:sz w:val="24"/>
          <w:szCs w:val="24"/>
          <w:lang w:val="uk-UA"/>
        </w:rPr>
        <w:t>на території Южноукраїнської міської територіальної громади</w:t>
      </w:r>
      <w:bookmarkEnd w:id="1"/>
      <w:r w:rsidRPr="00484FCC">
        <w:rPr>
          <w:rFonts w:ascii="Times New Roman" w:hAnsi="Times New Roman" w:cs="Times New Roman"/>
          <w:sz w:val="24"/>
          <w:szCs w:val="24"/>
          <w:lang w:val="uk-UA"/>
        </w:rPr>
        <w:t>».</w:t>
      </w:r>
    </w:p>
    <w:p w:rsidR="00484FCC" w:rsidRPr="00484FCC" w:rsidRDefault="00484FCC" w:rsidP="00484FCC">
      <w:pPr>
        <w:tabs>
          <w:tab w:val="left" w:pos="546"/>
        </w:tabs>
        <w:spacing w:before="120"/>
        <w:ind w:right="-5" w:firstLine="709"/>
        <w:jc w:val="both"/>
        <w:rPr>
          <w:rFonts w:ascii="Times New Roman" w:hAnsi="Times New Roman" w:cs="Times New Roman"/>
          <w:sz w:val="24"/>
          <w:szCs w:val="24"/>
          <w:lang w:val="uk-UA"/>
        </w:rPr>
      </w:pPr>
      <w:r w:rsidRPr="00484FCC">
        <w:rPr>
          <w:rFonts w:ascii="Times New Roman" w:hAnsi="Times New Roman" w:cs="Times New Roman"/>
          <w:sz w:val="24"/>
          <w:szCs w:val="24"/>
          <w:lang w:val="uk-UA"/>
        </w:rPr>
        <w:t xml:space="preserve">2. </w:t>
      </w:r>
      <w:r w:rsidRPr="00484FCC">
        <w:rPr>
          <w:rFonts w:ascii="Times New Roman" w:hAnsi="Times New Roman" w:cs="Times New Roman"/>
          <w:sz w:val="24"/>
          <w:szCs w:val="24"/>
          <w:u w:val="single"/>
          <w:lang w:val="uk-UA"/>
        </w:rPr>
        <w:t>Назва виконавця заходів з відстеження:</w:t>
      </w:r>
      <w:r w:rsidRPr="00484FCC">
        <w:rPr>
          <w:rFonts w:ascii="Times New Roman" w:hAnsi="Times New Roman" w:cs="Times New Roman"/>
          <w:sz w:val="24"/>
          <w:szCs w:val="24"/>
          <w:lang w:val="uk-UA"/>
        </w:rPr>
        <w:t xml:space="preserve"> управління економічного розвитку Южноукраїнської міської ради</w:t>
      </w:r>
    </w:p>
    <w:p w:rsidR="00484FCC" w:rsidRPr="00484FCC" w:rsidRDefault="00484FCC" w:rsidP="00484FCC">
      <w:pPr>
        <w:tabs>
          <w:tab w:val="left" w:pos="546"/>
        </w:tabs>
        <w:spacing w:before="120"/>
        <w:ind w:right="-5" w:firstLine="709"/>
        <w:jc w:val="both"/>
        <w:rPr>
          <w:rFonts w:ascii="Times New Roman" w:hAnsi="Times New Roman" w:cs="Times New Roman"/>
          <w:color w:val="FF0000"/>
          <w:sz w:val="24"/>
          <w:szCs w:val="24"/>
          <w:lang w:val="uk-UA"/>
        </w:rPr>
      </w:pPr>
      <w:r w:rsidRPr="00484FCC">
        <w:rPr>
          <w:rFonts w:ascii="Times New Roman" w:hAnsi="Times New Roman" w:cs="Times New Roman"/>
          <w:sz w:val="24"/>
          <w:szCs w:val="24"/>
          <w:lang w:val="uk-UA"/>
        </w:rPr>
        <w:t xml:space="preserve">3.   </w:t>
      </w:r>
      <w:r w:rsidRPr="00484FCC">
        <w:rPr>
          <w:rFonts w:ascii="Times New Roman" w:hAnsi="Times New Roman" w:cs="Times New Roman"/>
          <w:sz w:val="24"/>
          <w:szCs w:val="24"/>
          <w:u w:val="single"/>
          <w:lang w:val="uk-UA"/>
        </w:rPr>
        <w:t>Ціль прийняття акту</w:t>
      </w:r>
      <w:r w:rsidRPr="00484FCC">
        <w:rPr>
          <w:rFonts w:ascii="Times New Roman" w:hAnsi="Times New Roman" w:cs="Times New Roman"/>
          <w:sz w:val="24"/>
          <w:szCs w:val="24"/>
          <w:lang w:val="uk-UA"/>
        </w:rPr>
        <w:t xml:space="preserve"> –  встановлення </w:t>
      </w:r>
      <w:r w:rsidRPr="00484FCC">
        <w:rPr>
          <w:rFonts w:ascii="Times New Roman" w:hAnsi="Times New Roman" w:cs="Times New Roman"/>
          <w:sz w:val="24"/>
          <w:szCs w:val="24"/>
          <w:shd w:val="clear" w:color="auto" w:fill="FFFFFF"/>
          <w:lang w:val="uk-UA"/>
        </w:rPr>
        <w:t>ставок та пільг із сплати податку на нерухоме майно, відмінне від земельної ділянки,</w:t>
      </w:r>
      <w:r w:rsidRPr="00484FCC">
        <w:rPr>
          <w:rFonts w:ascii="Times New Roman" w:hAnsi="Times New Roman" w:cs="Times New Roman"/>
          <w:sz w:val="24"/>
          <w:szCs w:val="24"/>
          <w:lang w:val="uk-UA"/>
        </w:rPr>
        <w:t xml:space="preserve"> на території Южноукраїнської міської територіальної громади.</w:t>
      </w:r>
    </w:p>
    <w:p w:rsidR="00484FCC" w:rsidRPr="00484FCC" w:rsidRDefault="00484FCC" w:rsidP="00484FCC">
      <w:pPr>
        <w:pStyle w:val="a3"/>
        <w:spacing w:before="120"/>
        <w:ind w:firstLine="709"/>
        <w:jc w:val="both"/>
        <w:rPr>
          <w:szCs w:val="24"/>
        </w:rPr>
      </w:pPr>
      <w:r w:rsidRPr="00484FCC">
        <w:rPr>
          <w:szCs w:val="24"/>
        </w:rPr>
        <w:t xml:space="preserve">4. </w:t>
      </w:r>
      <w:r w:rsidRPr="00484FCC">
        <w:rPr>
          <w:szCs w:val="24"/>
          <w:lang w:val="ru-RU"/>
        </w:rPr>
        <w:t xml:space="preserve">  </w:t>
      </w:r>
      <w:r w:rsidRPr="00484FCC">
        <w:rPr>
          <w:szCs w:val="24"/>
          <w:u w:val="single"/>
        </w:rPr>
        <w:t>Строк виконання заходів з відстеження</w:t>
      </w:r>
      <w:r w:rsidRPr="00484FCC">
        <w:rPr>
          <w:szCs w:val="24"/>
        </w:rPr>
        <w:t xml:space="preserve">: </w:t>
      </w:r>
      <w:r w:rsidRPr="00484FCC">
        <w:rPr>
          <w:szCs w:val="24"/>
          <w:u w:val="single"/>
        </w:rPr>
        <w:t xml:space="preserve">з </w:t>
      </w:r>
      <w:bookmarkStart w:id="2" w:name="_Hlk124423798"/>
      <w:r w:rsidRPr="00484FCC">
        <w:rPr>
          <w:szCs w:val="24"/>
          <w:u w:val="single"/>
        </w:rPr>
        <w:t>26.12.2022  по 23.01.2023</w:t>
      </w:r>
      <w:bookmarkEnd w:id="2"/>
      <w:r w:rsidRPr="00484FCC">
        <w:rPr>
          <w:szCs w:val="24"/>
          <w:u w:val="single"/>
        </w:rPr>
        <w:t>.</w:t>
      </w:r>
    </w:p>
    <w:p w:rsidR="00484FCC" w:rsidRPr="00484FCC" w:rsidRDefault="00484FCC" w:rsidP="00484FCC">
      <w:pPr>
        <w:tabs>
          <w:tab w:val="num" w:pos="709"/>
        </w:tabs>
        <w:spacing w:before="120"/>
        <w:ind w:firstLine="709"/>
        <w:jc w:val="both"/>
        <w:rPr>
          <w:rFonts w:ascii="Times New Roman" w:hAnsi="Times New Roman" w:cs="Times New Roman"/>
          <w:sz w:val="24"/>
          <w:szCs w:val="24"/>
          <w:lang w:val="uk-UA"/>
        </w:rPr>
      </w:pPr>
      <w:r w:rsidRPr="00484FCC">
        <w:rPr>
          <w:rFonts w:ascii="Times New Roman" w:hAnsi="Times New Roman" w:cs="Times New Roman"/>
          <w:sz w:val="24"/>
          <w:szCs w:val="24"/>
          <w:lang w:val="uk-UA"/>
        </w:rPr>
        <w:t xml:space="preserve">5.   </w:t>
      </w:r>
      <w:r w:rsidRPr="00484FCC">
        <w:rPr>
          <w:rFonts w:ascii="Times New Roman" w:hAnsi="Times New Roman" w:cs="Times New Roman"/>
          <w:sz w:val="24"/>
          <w:szCs w:val="24"/>
          <w:u w:val="single"/>
          <w:lang w:val="uk-UA"/>
        </w:rPr>
        <w:t>Тип відстеження:</w:t>
      </w:r>
      <w:r w:rsidRPr="00484FCC">
        <w:rPr>
          <w:rFonts w:ascii="Times New Roman" w:hAnsi="Times New Roman" w:cs="Times New Roman"/>
          <w:sz w:val="24"/>
          <w:szCs w:val="24"/>
          <w:lang w:val="uk-UA"/>
        </w:rPr>
        <w:t xml:space="preserve">  повторне.</w:t>
      </w:r>
    </w:p>
    <w:p w:rsidR="00484FCC" w:rsidRPr="00484FCC" w:rsidRDefault="00484FCC" w:rsidP="00484FCC">
      <w:pPr>
        <w:tabs>
          <w:tab w:val="num" w:pos="709"/>
          <w:tab w:val="left" w:pos="851"/>
        </w:tabs>
        <w:spacing w:before="120"/>
        <w:ind w:firstLine="709"/>
        <w:jc w:val="both"/>
        <w:rPr>
          <w:rFonts w:ascii="Times New Roman" w:hAnsi="Times New Roman" w:cs="Times New Roman"/>
          <w:sz w:val="24"/>
          <w:szCs w:val="24"/>
          <w:lang w:val="uk-UA"/>
        </w:rPr>
      </w:pPr>
      <w:r w:rsidRPr="00484FCC">
        <w:rPr>
          <w:rFonts w:ascii="Times New Roman" w:hAnsi="Times New Roman" w:cs="Times New Roman"/>
          <w:sz w:val="24"/>
          <w:szCs w:val="24"/>
          <w:lang w:val="uk-UA"/>
        </w:rPr>
        <w:t xml:space="preserve">6.   </w:t>
      </w:r>
      <w:r w:rsidRPr="00484FCC">
        <w:rPr>
          <w:rFonts w:ascii="Times New Roman" w:hAnsi="Times New Roman" w:cs="Times New Roman"/>
          <w:sz w:val="24"/>
          <w:szCs w:val="24"/>
          <w:u w:val="single"/>
          <w:lang w:val="uk-UA"/>
        </w:rPr>
        <w:t>Методи одержання результатів відстеження:</w:t>
      </w:r>
      <w:r w:rsidRPr="00484FCC">
        <w:rPr>
          <w:rFonts w:ascii="Times New Roman" w:hAnsi="Times New Roman" w:cs="Times New Roman"/>
          <w:sz w:val="24"/>
          <w:szCs w:val="24"/>
          <w:lang w:val="uk-UA"/>
        </w:rPr>
        <w:t xml:space="preserve"> </w:t>
      </w:r>
    </w:p>
    <w:p w:rsidR="00484FCC" w:rsidRPr="00484FCC" w:rsidRDefault="00484FCC" w:rsidP="00484FCC">
      <w:pPr>
        <w:tabs>
          <w:tab w:val="num" w:pos="709"/>
        </w:tabs>
        <w:spacing w:before="120"/>
        <w:ind w:firstLine="709"/>
        <w:jc w:val="both"/>
        <w:rPr>
          <w:rFonts w:ascii="Times New Roman" w:hAnsi="Times New Roman" w:cs="Times New Roman"/>
          <w:sz w:val="24"/>
          <w:szCs w:val="24"/>
          <w:lang w:val="uk-UA"/>
        </w:rPr>
      </w:pPr>
      <w:r w:rsidRPr="00484FCC">
        <w:rPr>
          <w:rFonts w:ascii="Times New Roman" w:hAnsi="Times New Roman" w:cs="Times New Roman"/>
          <w:sz w:val="24"/>
          <w:szCs w:val="24"/>
          <w:lang w:val="uk-UA"/>
        </w:rPr>
        <w:t xml:space="preserve">6.1. Обсяг надходжень до бюджету Южноукраїнської міської територіальної громади від сплати </w:t>
      </w:r>
      <w:r w:rsidRPr="00484FCC">
        <w:rPr>
          <w:rFonts w:ascii="Times New Roman" w:hAnsi="Times New Roman" w:cs="Times New Roman"/>
          <w:sz w:val="24"/>
          <w:szCs w:val="24"/>
          <w:shd w:val="clear" w:color="auto" w:fill="FFFFFF"/>
          <w:lang w:val="uk-UA"/>
        </w:rPr>
        <w:t>податку на нерухоме майно, відмінне від земельної ділянки,</w:t>
      </w:r>
      <w:r w:rsidRPr="00484FCC">
        <w:rPr>
          <w:rFonts w:ascii="Times New Roman" w:hAnsi="Times New Roman" w:cs="Times New Roman"/>
          <w:sz w:val="24"/>
          <w:szCs w:val="24"/>
          <w:lang w:val="uk-UA"/>
        </w:rPr>
        <w:t xml:space="preserve"> на території Южноукраїнської міської територіальної громади.</w:t>
      </w:r>
    </w:p>
    <w:p w:rsidR="00484FCC" w:rsidRPr="00484FCC" w:rsidRDefault="00484FCC" w:rsidP="00484FCC">
      <w:pPr>
        <w:spacing w:before="120"/>
        <w:ind w:firstLine="709"/>
        <w:jc w:val="both"/>
        <w:rPr>
          <w:rFonts w:ascii="Times New Roman" w:hAnsi="Times New Roman" w:cs="Times New Roman"/>
          <w:sz w:val="24"/>
          <w:szCs w:val="24"/>
          <w:lang w:val="uk-UA"/>
        </w:rPr>
      </w:pPr>
      <w:r w:rsidRPr="00484FCC">
        <w:rPr>
          <w:rFonts w:ascii="Times New Roman" w:hAnsi="Times New Roman" w:cs="Times New Roman"/>
          <w:sz w:val="24"/>
          <w:szCs w:val="24"/>
          <w:lang w:val="uk-UA"/>
        </w:rPr>
        <w:t>6.2. Кількість суб’єктів господарювання/ фізичних осіб, на яких поширюватиметься дія регуляторного акту в частині сплати податку на нерухоме майно, відмінне від земельної ділянки.</w:t>
      </w:r>
    </w:p>
    <w:p w:rsidR="00484FCC" w:rsidRPr="00484FCC" w:rsidRDefault="00484FCC" w:rsidP="00484FCC">
      <w:pPr>
        <w:spacing w:before="120"/>
        <w:ind w:firstLine="709"/>
        <w:jc w:val="both"/>
        <w:rPr>
          <w:rFonts w:ascii="Times New Roman" w:hAnsi="Times New Roman" w:cs="Times New Roman"/>
          <w:sz w:val="24"/>
          <w:szCs w:val="24"/>
          <w:lang w:val="uk-UA"/>
        </w:rPr>
      </w:pPr>
      <w:r w:rsidRPr="00484FCC">
        <w:rPr>
          <w:rFonts w:ascii="Times New Roman" w:hAnsi="Times New Roman" w:cs="Times New Roman"/>
          <w:sz w:val="24"/>
          <w:szCs w:val="24"/>
          <w:lang w:val="uk-UA"/>
        </w:rPr>
        <w:t>6.3. Рівень поінформованості платників місцевих податків і зборів з основними положеннями регуляторного акту.</w:t>
      </w:r>
    </w:p>
    <w:p w:rsidR="00484FCC" w:rsidRPr="00484FCC" w:rsidRDefault="00484FCC" w:rsidP="00484FCC">
      <w:pPr>
        <w:spacing w:before="120"/>
        <w:ind w:firstLine="709"/>
        <w:jc w:val="both"/>
        <w:rPr>
          <w:rFonts w:ascii="Times New Roman" w:hAnsi="Times New Roman" w:cs="Times New Roman"/>
          <w:sz w:val="24"/>
          <w:szCs w:val="24"/>
          <w:lang w:val="uk-UA"/>
        </w:rPr>
      </w:pPr>
      <w:r w:rsidRPr="00484FCC">
        <w:rPr>
          <w:rFonts w:ascii="Times New Roman" w:hAnsi="Times New Roman" w:cs="Times New Roman"/>
          <w:sz w:val="24"/>
          <w:szCs w:val="24"/>
          <w:lang w:val="uk-UA"/>
        </w:rPr>
        <w:t xml:space="preserve">7. </w:t>
      </w:r>
      <w:r w:rsidRPr="00484FCC">
        <w:rPr>
          <w:rFonts w:ascii="Times New Roman" w:hAnsi="Times New Roman" w:cs="Times New Roman"/>
          <w:sz w:val="24"/>
          <w:szCs w:val="24"/>
          <w:u w:val="single"/>
          <w:lang w:val="uk-UA"/>
        </w:rPr>
        <w:t>Дані та припущення, на основі яких відстежувалася результативність, а також способи одержання даних:</w:t>
      </w:r>
      <w:r w:rsidRPr="00484FCC">
        <w:rPr>
          <w:rFonts w:ascii="Times New Roman" w:hAnsi="Times New Roman" w:cs="Times New Roman"/>
          <w:sz w:val="24"/>
          <w:szCs w:val="24"/>
          <w:lang w:val="uk-UA"/>
        </w:rPr>
        <w:t xml:space="preserve"> статистичні.</w:t>
      </w:r>
    </w:p>
    <w:p w:rsidR="00484FCC" w:rsidRPr="00484FCC" w:rsidRDefault="00484FCC" w:rsidP="00484FCC">
      <w:pPr>
        <w:spacing w:before="120"/>
        <w:ind w:firstLine="720"/>
        <w:jc w:val="both"/>
        <w:rPr>
          <w:rFonts w:ascii="Times New Roman" w:hAnsi="Times New Roman" w:cs="Times New Roman"/>
          <w:sz w:val="24"/>
          <w:szCs w:val="24"/>
          <w:lang w:val="uk-UA"/>
        </w:rPr>
      </w:pPr>
      <w:r w:rsidRPr="00484FCC">
        <w:rPr>
          <w:rFonts w:ascii="Times New Roman" w:hAnsi="Times New Roman" w:cs="Times New Roman"/>
          <w:sz w:val="24"/>
          <w:szCs w:val="24"/>
          <w:lang w:val="uk-UA"/>
        </w:rPr>
        <w:t xml:space="preserve">8. Кількісні та якісні показники:   </w:t>
      </w:r>
    </w:p>
    <w:p w:rsidR="00484FCC" w:rsidRPr="00484FCC" w:rsidRDefault="00484FCC" w:rsidP="00484FCC">
      <w:pPr>
        <w:tabs>
          <w:tab w:val="num" w:pos="709"/>
        </w:tabs>
        <w:spacing w:before="120"/>
        <w:ind w:firstLine="709"/>
        <w:jc w:val="both"/>
        <w:rPr>
          <w:rFonts w:ascii="Times New Roman" w:hAnsi="Times New Roman" w:cs="Times New Roman"/>
          <w:sz w:val="24"/>
          <w:szCs w:val="24"/>
          <w:lang w:val="uk-UA"/>
        </w:rPr>
      </w:pPr>
      <w:r w:rsidRPr="00484FCC">
        <w:rPr>
          <w:rFonts w:ascii="Times New Roman" w:hAnsi="Times New Roman" w:cs="Times New Roman"/>
          <w:sz w:val="24"/>
          <w:szCs w:val="24"/>
          <w:lang w:val="uk-UA"/>
        </w:rPr>
        <w:t xml:space="preserve">8.1. Обсяг надходжень до бюджету Южноукраїнської міської територіальної громади від сплати </w:t>
      </w:r>
      <w:r w:rsidRPr="00484FCC">
        <w:rPr>
          <w:rFonts w:ascii="Times New Roman" w:hAnsi="Times New Roman" w:cs="Times New Roman"/>
          <w:sz w:val="24"/>
          <w:szCs w:val="24"/>
          <w:shd w:val="clear" w:color="auto" w:fill="FFFFFF"/>
          <w:lang w:val="uk-UA"/>
        </w:rPr>
        <w:t>податку на нерухоме майно, відмінне від земельної ділянки,</w:t>
      </w:r>
      <w:r w:rsidRPr="00484FCC">
        <w:rPr>
          <w:rFonts w:ascii="Times New Roman" w:hAnsi="Times New Roman" w:cs="Times New Roman"/>
          <w:sz w:val="24"/>
          <w:szCs w:val="24"/>
          <w:lang w:val="uk-UA"/>
        </w:rPr>
        <w:t xml:space="preserve"> на території Южноукраїнської міської територіальної громади:</w:t>
      </w:r>
    </w:p>
    <w:p w:rsidR="00484FCC" w:rsidRPr="00484FCC" w:rsidRDefault="00484FCC" w:rsidP="00484FCC">
      <w:pPr>
        <w:tabs>
          <w:tab w:val="num" w:pos="709"/>
        </w:tabs>
        <w:spacing w:before="120"/>
        <w:ind w:firstLine="540"/>
        <w:jc w:val="both"/>
        <w:rPr>
          <w:rStyle w:val="a5"/>
          <w:rFonts w:ascii="Times New Roman" w:hAnsi="Times New Roman" w:cs="Times New Roman"/>
          <w:b w:val="0"/>
          <w:lang w:val="uk-UA"/>
        </w:rPr>
      </w:pPr>
    </w:p>
    <w:tbl>
      <w:tblPr>
        <w:tblStyle w:val="a6"/>
        <w:tblW w:w="0" w:type="auto"/>
        <w:tblInd w:w="-5" w:type="dxa"/>
        <w:tblLook w:val="04A0" w:firstRow="1" w:lastRow="0" w:firstColumn="1" w:lastColumn="0" w:noHBand="0" w:noVBand="1"/>
      </w:tblPr>
      <w:tblGrid>
        <w:gridCol w:w="1860"/>
        <w:gridCol w:w="1314"/>
        <w:gridCol w:w="1725"/>
        <w:gridCol w:w="1309"/>
        <w:gridCol w:w="1401"/>
        <w:gridCol w:w="1741"/>
      </w:tblGrid>
      <w:tr w:rsidR="00484FCC" w:rsidRPr="00484FCC" w:rsidTr="00891A03">
        <w:tc>
          <w:tcPr>
            <w:tcW w:w="1894" w:type="dxa"/>
            <w:vMerge w:val="restart"/>
            <w:vAlign w:val="center"/>
          </w:tcPr>
          <w:p w:rsidR="00484FCC" w:rsidRPr="00484FCC" w:rsidRDefault="00484FCC" w:rsidP="00891A03">
            <w:pPr>
              <w:spacing w:before="120"/>
              <w:jc w:val="center"/>
              <w:rPr>
                <w:rStyle w:val="a5"/>
                <w:rFonts w:ascii="Times New Roman" w:hAnsi="Times New Roman" w:cs="Times New Roman"/>
                <w:b w:val="0"/>
                <w:bCs w:val="0"/>
                <w:sz w:val="24"/>
                <w:szCs w:val="24"/>
                <w:lang w:val="uk-UA"/>
              </w:rPr>
            </w:pPr>
            <w:r w:rsidRPr="00484FCC">
              <w:rPr>
                <w:rStyle w:val="a5"/>
                <w:rFonts w:ascii="Times New Roman" w:hAnsi="Times New Roman" w:cs="Times New Roman"/>
                <w:b w:val="0"/>
                <w:bCs w:val="0"/>
                <w:sz w:val="24"/>
                <w:szCs w:val="24"/>
                <w:lang w:val="uk-UA"/>
              </w:rPr>
              <w:t>Показники</w:t>
            </w:r>
          </w:p>
        </w:tc>
        <w:tc>
          <w:tcPr>
            <w:tcW w:w="1316" w:type="dxa"/>
            <w:vMerge w:val="restart"/>
            <w:vAlign w:val="center"/>
          </w:tcPr>
          <w:p w:rsidR="00484FCC" w:rsidRPr="00484FCC" w:rsidRDefault="00484FCC" w:rsidP="00891A03">
            <w:pPr>
              <w:spacing w:before="120"/>
              <w:jc w:val="center"/>
              <w:rPr>
                <w:rFonts w:ascii="Times New Roman" w:hAnsi="Times New Roman" w:cs="Times New Roman"/>
                <w:sz w:val="24"/>
                <w:szCs w:val="24"/>
                <w:lang w:val="uk-UA"/>
              </w:rPr>
            </w:pPr>
            <w:r w:rsidRPr="00484FCC">
              <w:rPr>
                <w:rFonts w:ascii="Times New Roman" w:hAnsi="Times New Roman" w:cs="Times New Roman"/>
                <w:sz w:val="24"/>
                <w:szCs w:val="24"/>
                <w:lang w:val="uk-UA"/>
              </w:rPr>
              <w:t>Кількість платників, осіб</w:t>
            </w:r>
          </w:p>
        </w:tc>
        <w:tc>
          <w:tcPr>
            <w:tcW w:w="1726" w:type="dxa"/>
            <w:vMerge w:val="restart"/>
            <w:vAlign w:val="center"/>
          </w:tcPr>
          <w:p w:rsidR="00484FCC" w:rsidRPr="00484FCC" w:rsidRDefault="00484FCC" w:rsidP="00891A03">
            <w:pPr>
              <w:spacing w:before="120"/>
              <w:jc w:val="center"/>
              <w:rPr>
                <w:rStyle w:val="a5"/>
                <w:rFonts w:ascii="Times New Roman" w:hAnsi="Times New Roman" w:cs="Times New Roman"/>
                <w:b w:val="0"/>
                <w:bCs w:val="0"/>
                <w:sz w:val="24"/>
                <w:szCs w:val="24"/>
              </w:rPr>
            </w:pPr>
            <w:r w:rsidRPr="00484FCC">
              <w:rPr>
                <w:rFonts w:ascii="Times New Roman" w:hAnsi="Times New Roman" w:cs="Times New Roman"/>
                <w:sz w:val="24"/>
                <w:szCs w:val="24"/>
                <w:lang w:val="uk-UA"/>
              </w:rPr>
              <w:t xml:space="preserve">Очікуване надходження в результаті дії регуляторного акту, </w:t>
            </w:r>
            <w:proofErr w:type="spellStart"/>
            <w:r w:rsidRPr="00484FCC">
              <w:rPr>
                <w:rFonts w:ascii="Times New Roman" w:hAnsi="Times New Roman" w:cs="Times New Roman"/>
                <w:sz w:val="24"/>
                <w:szCs w:val="24"/>
                <w:lang w:val="uk-UA"/>
              </w:rPr>
              <w:t>тис.грн</w:t>
            </w:r>
            <w:proofErr w:type="spellEnd"/>
            <w:r w:rsidRPr="00484FCC">
              <w:rPr>
                <w:rFonts w:ascii="Times New Roman" w:hAnsi="Times New Roman" w:cs="Times New Roman"/>
                <w:sz w:val="24"/>
                <w:szCs w:val="24"/>
                <w:lang w:val="uk-UA"/>
              </w:rPr>
              <w:t>.</w:t>
            </w:r>
          </w:p>
        </w:tc>
        <w:tc>
          <w:tcPr>
            <w:tcW w:w="2772" w:type="dxa"/>
            <w:gridSpan w:val="2"/>
            <w:vAlign w:val="center"/>
          </w:tcPr>
          <w:p w:rsidR="00484FCC" w:rsidRPr="00484FCC" w:rsidRDefault="00484FCC" w:rsidP="00891A03">
            <w:pPr>
              <w:jc w:val="center"/>
              <w:rPr>
                <w:rStyle w:val="a5"/>
                <w:rFonts w:ascii="Times New Roman" w:hAnsi="Times New Roman" w:cs="Times New Roman"/>
                <w:b w:val="0"/>
                <w:bCs w:val="0"/>
                <w:sz w:val="24"/>
                <w:szCs w:val="24"/>
                <w:lang w:val="uk-UA"/>
              </w:rPr>
            </w:pPr>
            <w:r w:rsidRPr="00484FCC">
              <w:rPr>
                <w:rStyle w:val="a5"/>
                <w:rFonts w:ascii="Times New Roman" w:hAnsi="Times New Roman" w:cs="Times New Roman"/>
                <w:b w:val="0"/>
                <w:bCs w:val="0"/>
                <w:sz w:val="24"/>
                <w:szCs w:val="24"/>
                <w:lang w:val="uk-UA"/>
              </w:rPr>
              <w:t xml:space="preserve">Фактичні надходження до бюджету громади </w:t>
            </w:r>
          </w:p>
          <w:p w:rsidR="00484FCC" w:rsidRPr="00484FCC" w:rsidRDefault="00484FCC" w:rsidP="00891A03">
            <w:pPr>
              <w:jc w:val="center"/>
              <w:rPr>
                <w:rStyle w:val="a5"/>
                <w:rFonts w:ascii="Times New Roman" w:hAnsi="Times New Roman" w:cs="Times New Roman"/>
                <w:b w:val="0"/>
                <w:bCs w:val="0"/>
                <w:sz w:val="24"/>
                <w:szCs w:val="24"/>
                <w:lang w:val="uk-UA"/>
              </w:rPr>
            </w:pPr>
            <w:r w:rsidRPr="00484FCC">
              <w:rPr>
                <w:rStyle w:val="a5"/>
                <w:rFonts w:ascii="Times New Roman" w:hAnsi="Times New Roman" w:cs="Times New Roman"/>
                <w:b w:val="0"/>
                <w:bCs w:val="0"/>
                <w:sz w:val="24"/>
                <w:szCs w:val="24"/>
                <w:lang w:val="uk-UA"/>
              </w:rPr>
              <w:t>за 2022 рік,</w:t>
            </w:r>
            <w:r w:rsidRPr="00484FCC">
              <w:rPr>
                <w:rStyle w:val="a5"/>
                <w:rFonts w:ascii="Times New Roman" w:hAnsi="Times New Roman" w:cs="Times New Roman"/>
                <w:sz w:val="24"/>
                <w:szCs w:val="24"/>
              </w:rPr>
              <w:t xml:space="preserve"> </w:t>
            </w:r>
            <w:r w:rsidRPr="00484FCC">
              <w:rPr>
                <w:rStyle w:val="a5"/>
                <w:rFonts w:ascii="Times New Roman" w:hAnsi="Times New Roman" w:cs="Times New Roman"/>
                <w:b w:val="0"/>
                <w:bCs w:val="0"/>
                <w:sz w:val="24"/>
                <w:szCs w:val="24"/>
                <w:lang w:val="uk-UA"/>
              </w:rPr>
              <w:t>т</w:t>
            </w:r>
            <w:r w:rsidRPr="00484FCC">
              <w:rPr>
                <w:rStyle w:val="a5"/>
                <w:rFonts w:ascii="Times New Roman" w:hAnsi="Times New Roman" w:cs="Times New Roman"/>
                <w:b w:val="0"/>
                <w:bCs w:val="0"/>
                <w:sz w:val="24"/>
                <w:szCs w:val="24"/>
              </w:rPr>
              <w:t>и</w:t>
            </w:r>
            <w:r w:rsidRPr="00484FCC">
              <w:rPr>
                <w:rStyle w:val="a5"/>
                <w:rFonts w:ascii="Times New Roman" w:hAnsi="Times New Roman" w:cs="Times New Roman"/>
                <w:b w:val="0"/>
                <w:bCs w:val="0"/>
                <w:sz w:val="24"/>
                <w:szCs w:val="24"/>
                <w:lang w:val="uk-UA"/>
              </w:rPr>
              <w:t>с</w:t>
            </w:r>
            <w:r w:rsidRPr="00484FCC">
              <w:rPr>
                <w:rStyle w:val="a5"/>
                <w:rFonts w:ascii="Times New Roman" w:hAnsi="Times New Roman" w:cs="Times New Roman"/>
                <w:b w:val="0"/>
                <w:bCs w:val="0"/>
                <w:sz w:val="24"/>
                <w:szCs w:val="24"/>
              </w:rPr>
              <w:t>.</w:t>
            </w:r>
            <w:r w:rsidRPr="00484FCC">
              <w:rPr>
                <w:rStyle w:val="a5"/>
                <w:rFonts w:ascii="Times New Roman" w:hAnsi="Times New Roman" w:cs="Times New Roman"/>
                <w:b w:val="0"/>
                <w:bCs w:val="0"/>
                <w:sz w:val="24"/>
                <w:szCs w:val="24"/>
                <w:lang w:val="uk-UA"/>
              </w:rPr>
              <w:t>г</w:t>
            </w:r>
            <w:r w:rsidRPr="00484FCC">
              <w:rPr>
                <w:rStyle w:val="a5"/>
                <w:rFonts w:ascii="Times New Roman" w:hAnsi="Times New Roman" w:cs="Times New Roman"/>
                <w:b w:val="0"/>
                <w:bCs w:val="0"/>
                <w:sz w:val="24"/>
                <w:szCs w:val="24"/>
              </w:rPr>
              <w:t>р</w:t>
            </w:r>
            <w:r w:rsidRPr="00484FCC">
              <w:rPr>
                <w:rStyle w:val="a5"/>
                <w:rFonts w:ascii="Times New Roman" w:hAnsi="Times New Roman" w:cs="Times New Roman"/>
                <w:b w:val="0"/>
                <w:bCs w:val="0"/>
                <w:sz w:val="24"/>
                <w:szCs w:val="24"/>
                <w:lang w:val="uk-UA"/>
              </w:rPr>
              <w:t>н</w:t>
            </w:r>
            <w:r w:rsidRPr="00484FCC">
              <w:rPr>
                <w:rStyle w:val="a5"/>
                <w:rFonts w:ascii="Times New Roman" w:hAnsi="Times New Roman" w:cs="Times New Roman"/>
                <w:b w:val="0"/>
                <w:bCs w:val="0"/>
                <w:sz w:val="24"/>
                <w:szCs w:val="24"/>
              </w:rPr>
              <w:t>.</w:t>
            </w:r>
          </w:p>
        </w:tc>
        <w:tc>
          <w:tcPr>
            <w:tcW w:w="1785" w:type="dxa"/>
            <w:vMerge w:val="restart"/>
            <w:vAlign w:val="center"/>
          </w:tcPr>
          <w:p w:rsidR="00484FCC" w:rsidRPr="00484FCC" w:rsidRDefault="00484FCC" w:rsidP="00891A03">
            <w:pPr>
              <w:jc w:val="center"/>
              <w:rPr>
                <w:rStyle w:val="a5"/>
                <w:rFonts w:ascii="Times New Roman" w:hAnsi="Times New Roman" w:cs="Times New Roman"/>
                <w:b w:val="0"/>
                <w:bCs w:val="0"/>
                <w:sz w:val="24"/>
                <w:szCs w:val="24"/>
                <w:lang w:val="uk-UA"/>
              </w:rPr>
            </w:pPr>
            <w:r w:rsidRPr="00484FCC">
              <w:rPr>
                <w:rStyle w:val="a5"/>
                <w:rFonts w:ascii="Times New Roman" w:hAnsi="Times New Roman" w:cs="Times New Roman"/>
                <w:b w:val="0"/>
                <w:bCs w:val="0"/>
                <w:sz w:val="24"/>
                <w:szCs w:val="24"/>
                <w:lang w:val="uk-UA"/>
              </w:rPr>
              <w:t>Прогноз</w:t>
            </w:r>
          </w:p>
          <w:p w:rsidR="00484FCC" w:rsidRPr="00484FCC" w:rsidRDefault="00484FCC" w:rsidP="00891A03">
            <w:pPr>
              <w:jc w:val="center"/>
              <w:rPr>
                <w:rStyle w:val="a5"/>
                <w:rFonts w:ascii="Times New Roman" w:hAnsi="Times New Roman" w:cs="Times New Roman"/>
                <w:b w:val="0"/>
                <w:bCs w:val="0"/>
                <w:sz w:val="24"/>
                <w:szCs w:val="24"/>
                <w:lang w:val="uk-UA"/>
              </w:rPr>
            </w:pPr>
            <w:r w:rsidRPr="00484FCC">
              <w:rPr>
                <w:rStyle w:val="a5"/>
                <w:rFonts w:ascii="Times New Roman" w:hAnsi="Times New Roman" w:cs="Times New Roman"/>
                <w:b w:val="0"/>
                <w:bCs w:val="0"/>
                <w:sz w:val="24"/>
                <w:szCs w:val="24"/>
                <w:lang w:val="uk-UA"/>
              </w:rPr>
              <w:t xml:space="preserve"> на 2023 рік,</w:t>
            </w:r>
            <w:r w:rsidRPr="00484FCC">
              <w:rPr>
                <w:rStyle w:val="a5"/>
                <w:rFonts w:ascii="Times New Roman" w:hAnsi="Times New Roman" w:cs="Times New Roman"/>
                <w:sz w:val="24"/>
                <w:szCs w:val="24"/>
              </w:rPr>
              <w:t xml:space="preserve"> </w:t>
            </w:r>
            <w:r w:rsidRPr="00484FCC">
              <w:rPr>
                <w:rStyle w:val="a5"/>
                <w:rFonts w:ascii="Times New Roman" w:hAnsi="Times New Roman" w:cs="Times New Roman"/>
                <w:b w:val="0"/>
                <w:bCs w:val="0"/>
                <w:sz w:val="24"/>
                <w:szCs w:val="24"/>
                <w:lang w:val="uk-UA"/>
              </w:rPr>
              <w:t>т</w:t>
            </w:r>
            <w:r w:rsidRPr="00484FCC">
              <w:rPr>
                <w:rStyle w:val="a5"/>
                <w:rFonts w:ascii="Times New Roman" w:hAnsi="Times New Roman" w:cs="Times New Roman"/>
                <w:b w:val="0"/>
                <w:bCs w:val="0"/>
                <w:sz w:val="24"/>
                <w:szCs w:val="24"/>
              </w:rPr>
              <w:t>и</w:t>
            </w:r>
            <w:r w:rsidRPr="00484FCC">
              <w:rPr>
                <w:rStyle w:val="a5"/>
                <w:rFonts w:ascii="Times New Roman" w:hAnsi="Times New Roman" w:cs="Times New Roman"/>
                <w:b w:val="0"/>
                <w:bCs w:val="0"/>
                <w:sz w:val="24"/>
                <w:szCs w:val="24"/>
                <w:lang w:val="uk-UA"/>
              </w:rPr>
              <w:t>с</w:t>
            </w:r>
            <w:r w:rsidRPr="00484FCC">
              <w:rPr>
                <w:rStyle w:val="a5"/>
                <w:rFonts w:ascii="Times New Roman" w:hAnsi="Times New Roman" w:cs="Times New Roman"/>
                <w:b w:val="0"/>
                <w:bCs w:val="0"/>
                <w:sz w:val="24"/>
                <w:szCs w:val="24"/>
              </w:rPr>
              <w:t>.</w:t>
            </w:r>
            <w:r w:rsidRPr="00484FCC">
              <w:rPr>
                <w:rStyle w:val="a5"/>
                <w:rFonts w:ascii="Times New Roman" w:hAnsi="Times New Roman" w:cs="Times New Roman"/>
                <w:b w:val="0"/>
                <w:bCs w:val="0"/>
                <w:sz w:val="24"/>
                <w:szCs w:val="24"/>
                <w:lang w:val="uk-UA"/>
              </w:rPr>
              <w:t>г</w:t>
            </w:r>
            <w:r w:rsidRPr="00484FCC">
              <w:rPr>
                <w:rStyle w:val="a5"/>
                <w:rFonts w:ascii="Times New Roman" w:hAnsi="Times New Roman" w:cs="Times New Roman"/>
                <w:b w:val="0"/>
                <w:bCs w:val="0"/>
                <w:sz w:val="24"/>
                <w:szCs w:val="24"/>
              </w:rPr>
              <w:t>р</w:t>
            </w:r>
            <w:r w:rsidRPr="00484FCC">
              <w:rPr>
                <w:rStyle w:val="a5"/>
                <w:rFonts w:ascii="Times New Roman" w:hAnsi="Times New Roman" w:cs="Times New Roman"/>
                <w:b w:val="0"/>
                <w:bCs w:val="0"/>
                <w:sz w:val="24"/>
                <w:szCs w:val="24"/>
                <w:lang w:val="uk-UA"/>
              </w:rPr>
              <w:t>н</w:t>
            </w:r>
            <w:r w:rsidRPr="00484FCC">
              <w:rPr>
                <w:rStyle w:val="a5"/>
                <w:rFonts w:ascii="Times New Roman" w:hAnsi="Times New Roman" w:cs="Times New Roman"/>
                <w:b w:val="0"/>
                <w:bCs w:val="0"/>
                <w:sz w:val="24"/>
                <w:szCs w:val="24"/>
              </w:rPr>
              <w:t>.</w:t>
            </w:r>
          </w:p>
        </w:tc>
      </w:tr>
      <w:tr w:rsidR="00484FCC" w:rsidRPr="00484FCC" w:rsidTr="00891A03">
        <w:tc>
          <w:tcPr>
            <w:tcW w:w="1894" w:type="dxa"/>
            <w:vMerge/>
            <w:vAlign w:val="center"/>
          </w:tcPr>
          <w:p w:rsidR="00484FCC" w:rsidRPr="00484FCC" w:rsidRDefault="00484FCC" w:rsidP="00891A03">
            <w:pPr>
              <w:spacing w:before="120"/>
              <w:jc w:val="center"/>
              <w:rPr>
                <w:rStyle w:val="a5"/>
                <w:rFonts w:ascii="Times New Roman" w:hAnsi="Times New Roman" w:cs="Times New Roman"/>
                <w:b w:val="0"/>
                <w:bCs w:val="0"/>
                <w:sz w:val="24"/>
                <w:szCs w:val="24"/>
                <w:lang w:val="uk-UA"/>
              </w:rPr>
            </w:pPr>
          </w:p>
        </w:tc>
        <w:tc>
          <w:tcPr>
            <w:tcW w:w="1316" w:type="dxa"/>
            <w:vMerge/>
          </w:tcPr>
          <w:p w:rsidR="00484FCC" w:rsidRPr="00484FCC" w:rsidRDefault="00484FCC" w:rsidP="00891A03">
            <w:pPr>
              <w:spacing w:before="120"/>
              <w:jc w:val="center"/>
              <w:rPr>
                <w:rFonts w:ascii="Times New Roman" w:hAnsi="Times New Roman" w:cs="Times New Roman"/>
                <w:sz w:val="24"/>
                <w:szCs w:val="24"/>
                <w:lang w:val="uk-UA"/>
              </w:rPr>
            </w:pPr>
          </w:p>
        </w:tc>
        <w:tc>
          <w:tcPr>
            <w:tcW w:w="1726" w:type="dxa"/>
            <w:vMerge/>
            <w:vAlign w:val="center"/>
          </w:tcPr>
          <w:p w:rsidR="00484FCC" w:rsidRPr="00484FCC" w:rsidRDefault="00484FCC" w:rsidP="00891A03">
            <w:pPr>
              <w:spacing w:before="120"/>
              <w:jc w:val="center"/>
              <w:rPr>
                <w:rFonts w:ascii="Times New Roman" w:hAnsi="Times New Roman" w:cs="Times New Roman"/>
                <w:sz w:val="24"/>
                <w:szCs w:val="24"/>
                <w:lang w:val="uk-UA"/>
              </w:rPr>
            </w:pPr>
          </w:p>
        </w:tc>
        <w:tc>
          <w:tcPr>
            <w:tcW w:w="1337" w:type="dxa"/>
            <w:vAlign w:val="center"/>
          </w:tcPr>
          <w:p w:rsidR="00484FCC" w:rsidRPr="00484FCC" w:rsidRDefault="00484FCC" w:rsidP="00891A03">
            <w:pPr>
              <w:spacing w:before="120"/>
              <w:jc w:val="center"/>
              <w:rPr>
                <w:rStyle w:val="a5"/>
                <w:rFonts w:ascii="Times New Roman" w:hAnsi="Times New Roman" w:cs="Times New Roman"/>
                <w:b w:val="0"/>
                <w:bCs w:val="0"/>
                <w:sz w:val="24"/>
                <w:szCs w:val="24"/>
                <w:lang w:val="uk-UA"/>
              </w:rPr>
            </w:pPr>
            <w:r w:rsidRPr="00484FCC">
              <w:rPr>
                <w:rStyle w:val="a5"/>
                <w:rFonts w:ascii="Times New Roman" w:hAnsi="Times New Roman" w:cs="Times New Roman"/>
                <w:b w:val="0"/>
                <w:bCs w:val="0"/>
                <w:sz w:val="24"/>
                <w:szCs w:val="24"/>
                <w:lang w:val="uk-UA"/>
              </w:rPr>
              <w:t>план</w:t>
            </w:r>
          </w:p>
        </w:tc>
        <w:tc>
          <w:tcPr>
            <w:tcW w:w="1435" w:type="dxa"/>
            <w:vAlign w:val="center"/>
          </w:tcPr>
          <w:p w:rsidR="00484FCC" w:rsidRPr="00484FCC" w:rsidRDefault="00484FCC" w:rsidP="00891A03">
            <w:pPr>
              <w:spacing w:before="120"/>
              <w:jc w:val="center"/>
              <w:rPr>
                <w:rStyle w:val="a5"/>
                <w:rFonts w:ascii="Times New Roman" w:hAnsi="Times New Roman" w:cs="Times New Roman"/>
                <w:b w:val="0"/>
                <w:bCs w:val="0"/>
                <w:sz w:val="24"/>
                <w:szCs w:val="24"/>
                <w:lang w:val="uk-UA"/>
              </w:rPr>
            </w:pPr>
            <w:r w:rsidRPr="00484FCC">
              <w:rPr>
                <w:rStyle w:val="a5"/>
                <w:rFonts w:ascii="Times New Roman" w:hAnsi="Times New Roman" w:cs="Times New Roman"/>
                <w:b w:val="0"/>
                <w:bCs w:val="0"/>
                <w:sz w:val="24"/>
                <w:szCs w:val="24"/>
                <w:lang w:val="uk-UA"/>
              </w:rPr>
              <w:t>факт</w:t>
            </w:r>
          </w:p>
        </w:tc>
        <w:tc>
          <w:tcPr>
            <w:tcW w:w="1785" w:type="dxa"/>
            <w:vMerge/>
            <w:vAlign w:val="center"/>
          </w:tcPr>
          <w:p w:rsidR="00484FCC" w:rsidRPr="00484FCC" w:rsidRDefault="00484FCC" w:rsidP="00891A03">
            <w:pPr>
              <w:spacing w:before="120"/>
              <w:jc w:val="center"/>
              <w:rPr>
                <w:rStyle w:val="a5"/>
                <w:rFonts w:ascii="Times New Roman" w:hAnsi="Times New Roman" w:cs="Times New Roman"/>
                <w:b w:val="0"/>
                <w:bCs w:val="0"/>
                <w:sz w:val="24"/>
                <w:szCs w:val="24"/>
              </w:rPr>
            </w:pPr>
          </w:p>
        </w:tc>
      </w:tr>
      <w:tr w:rsidR="00484FCC" w:rsidRPr="00484FCC" w:rsidTr="00891A03">
        <w:tc>
          <w:tcPr>
            <w:tcW w:w="1894" w:type="dxa"/>
            <w:vAlign w:val="center"/>
          </w:tcPr>
          <w:p w:rsidR="00484FCC" w:rsidRPr="00484FCC" w:rsidRDefault="00484FCC" w:rsidP="00891A03">
            <w:pPr>
              <w:spacing w:before="120"/>
              <w:jc w:val="center"/>
              <w:rPr>
                <w:rStyle w:val="a5"/>
                <w:rFonts w:ascii="Times New Roman" w:hAnsi="Times New Roman" w:cs="Times New Roman"/>
                <w:b w:val="0"/>
                <w:bCs w:val="0"/>
                <w:sz w:val="24"/>
                <w:szCs w:val="24"/>
              </w:rPr>
            </w:pPr>
            <w:r w:rsidRPr="00484FCC">
              <w:rPr>
                <w:rFonts w:ascii="Times New Roman" w:hAnsi="Times New Roman" w:cs="Times New Roman"/>
                <w:sz w:val="24"/>
                <w:szCs w:val="24"/>
                <w:lang w:val="uk-UA"/>
              </w:rPr>
              <w:t>Податок на нерухоме майно, відмінне від земельної ділянки</w:t>
            </w:r>
          </w:p>
        </w:tc>
        <w:tc>
          <w:tcPr>
            <w:tcW w:w="1316" w:type="dxa"/>
            <w:vAlign w:val="center"/>
          </w:tcPr>
          <w:p w:rsidR="00484FCC" w:rsidRPr="00484FCC" w:rsidRDefault="00484FCC" w:rsidP="00891A03">
            <w:pPr>
              <w:spacing w:before="120"/>
              <w:jc w:val="center"/>
              <w:rPr>
                <w:rStyle w:val="a5"/>
                <w:rFonts w:ascii="Times New Roman" w:hAnsi="Times New Roman" w:cs="Times New Roman"/>
                <w:b w:val="0"/>
                <w:bCs w:val="0"/>
                <w:sz w:val="24"/>
                <w:szCs w:val="24"/>
                <w:lang w:val="uk-UA"/>
              </w:rPr>
            </w:pPr>
            <w:r w:rsidRPr="00484FCC">
              <w:rPr>
                <w:rStyle w:val="a5"/>
                <w:rFonts w:ascii="Times New Roman" w:hAnsi="Times New Roman" w:cs="Times New Roman"/>
                <w:b w:val="0"/>
                <w:bCs w:val="0"/>
                <w:sz w:val="24"/>
                <w:szCs w:val="24"/>
                <w:lang w:val="uk-UA"/>
              </w:rPr>
              <w:t>457</w:t>
            </w:r>
          </w:p>
        </w:tc>
        <w:tc>
          <w:tcPr>
            <w:tcW w:w="1726" w:type="dxa"/>
            <w:vAlign w:val="center"/>
          </w:tcPr>
          <w:p w:rsidR="00484FCC" w:rsidRPr="00484FCC" w:rsidRDefault="00484FCC" w:rsidP="00891A03">
            <w:pPr>
              <w:spacing w:before="120"/>
              <w:jc w:val="center"/>
              <w:rPr>
                <w:rStyle w:val="a5"/>
                <w:rFonts w:ascii="Times New Roman" w:hAnsi="Times New Roman" w:cs="Times New Roman"/>
                <w:b w:val="0"/>
                <w:bCs w:val="0"/>
                <w:sz w:val="24"/>
                <w:szCs w:val="24"/>
                <w:lang w:val="uk-UA"/>
              </w:rPr>
            </w:pPr>
            <w:r w:rsidRPr="00484FCC">
              <w:rPr>
                <w:rStyle w:val="a5"/>
                <w:rFonts w:ascii="Times New Roman" w:hAnsi="Times New Roman" w:cs="Times New Roman"/>
                <w:b w:val="0"/>
                <w:bCs w:val="0"/>
                <w:sz w:val="24"/>
                <w:szCs w:val="24"/>
                <w:lang w:val="uk-UA"/>
              </w:rPr>
              <w:t>5613,0</w:t>
            </w:r>
          </w:p>
        </w:tc>
        <w:tc>
          <w:tcPr>
            <w:tcW w:w="1337" w:type="dxa"/>
            <w:vAlign w:val="center"/>
          </w:tcPr>
          <w:p w:rsidR="00484FCC" w:rsidRPr="00484FCC" w:rsidRDefault="00484FCC" w:rsidP="00891A03">
            <w:pPr>
              <w:spacing w:before="120"/>
              <w:jc w:val="center"/>
              <w:rPr>
                <w:rStyle w:val="a5"/>
                <w:rFonts w:ascii="Times New Roman" w:hAnsi="Times New Roman" w:cs="Times New Roman"/>
                <w:b w:val="0"/>
                <w:bCs w:val="0"/>
                <w:sz w:val="24"/>
                <w:szCs w:val="24"/>
                <w:lang w:val="uk-UA"/>
              </w:rPr>
            </w:pPr>
            <w:r w:rsidRPr="00484FCC">
              <w:rPr>
                <w:rStyle w:val="a5"/>
                <w:rFonts w:ascii="Times New Roman" w:hAnsi="Times New Roman" w:cs="Times New Roman"/>
                <w:b w:val="0"/>
                <w:bCs w:val="0"/>
                <w:sz w:val="24"/>
                <w:szCs w:val="24"/>
                <w:lang w:val="uk-UA"/>
              </w:rPr>
              <w:t>1254,2</w:t>
            </w:r>
          </w:p>
        </w:tc>
        <w:tc>
          <w:tcPr>
            <w:tcW w:w="1435" w:type="dxa"/>
            <w:vAlign w:val="center"/>
          </w:tcPr>
          <w:p w:rsidR="00484FCC" w:rsidRPr="00484FCC" w:rsidRDefault="00484FCC" w:rsidP="00891A03">
            <w:pPr>
              <w:spacing w:before="120"/>
              <w:jc w:val="center"/>
              <w:rPr>
                <w:rStyle w:val="a5"/>
                <w:rFonts w:ascii="Times New Roman" w:hAnsi="Times New Roman" w:cs="Times New Roman"/>
                <w:b w:val="0"/>
                <w:bCs w:val="0"/>
                <w:sz w:val="24"/>
                <w:szCs w:val="24"/>
                <w:lang w:val="uk-UA"/>
              </w:rPr>
            </w:pPr>
            <w:r w:rsidRPr="00484FCC">
              <w:rPr>
                <w:rStyle w:val="a5"/>
                <w:rFonts w:ascii="Times New Roman" w:hAnsi="Times New Roman" w:cs="Times New Roman"/>
                <w:b w:val="0"/>
                <w:bCs w:val="0"/>
                <w:sz w:val="24"/>
                <w:szCs w:val="24"/>
                <w:lang w:val="uk-UA"/>
              </w:rPr>
              <w:t>1530,4</w:t>
            </w:r>
          </w:p>
        </w:tc>
        <w:tc>
          <w:tcPr>
            <w:tcW w:w="1785" w:type="dxa"/>
            <w:vAlign w:val="center"/>
          </w:tcPr>
          <w:p w:rsidR="00484FCC" w:rsidRPr="00484FCC" w:rsidRDefault="00484FCC" w:rsidP="00891A03">
            <w:pPr>
              <w:spacing w:before="120"/>
              <w:jc w:val="center"/>
              <w:rPr>
                <w:rStyle w:val="a5"/>
                <w:rFonts w:ascii="Times New Roman" w:hAnsi="Times New Roman" w:cs="Times New Roman"/>
                <w:b w:val="0"/>
                <w:bCs w:val="0"/>
                <w:sz w:val="24"/>
                <w:szCs w:val="24"/>
                <w:lang w:val="uk-UA"/>
              </w:rPr>
            </w:pPr>
            <w:r w:rsidRPr="00484FCC">
              <w:rPr>
                <w:rStyle w:val="a5"/>
                <w:rFonts w:ascii="Times New Roman" w:hAnsi="Times New Roman" w:cs="Times New Roman"/>
                <w:b w:val="0"/>
                <w:bCs w:val="0"/>
                <w:sz w:val="24"/>
                <w:szCs w:val="24"/>
                <w:lang w:val="uk-UA"/>
              </w:rPr>
              <w:t>1432,6</w:t>
            </w:r>
          </w:p>
        </w:tc>
      </w:tr>
    </w:tbl>
    <w:p w:rsidR="00484FCC" w:rsidRPr="00484FCC" w:rsidRDefault="00484FCC" w:rsidP="00484FCC">
      <w:pPr>
        <w:tabs>
          <w:tab w:val="num" w:pos="709"/>
        </w:tabs>
        <w:spacing w:before="120"/>
        <w:ind w:firstLine="540"/>
        <w:jc w:val="both"/>
        <w:rPr>
          <w:rStyle w:val="a5"/>
          <w:rFonts w:ascii="Times New Roman" w:hAnsi="Times New Roman" w:cs="Times New Roman"/>
          <w:b w:val="0"/>
          <w:sz w:val="24"/>
          <w:szCs w:val="24"/>
          <w:u w:val="single"/>
          <w:lang w:val="uk-UA"/>
        </w:rPr>
      </w:pPr>
      <w:r w:rsidRPr="00484FCC">
        <w:rPr>
          <w:rFonts w:ascii="Times New Roman" w:hAnsi="Times New Roman" w:cs="Times New Roman"/>
          <w:sz w:val="24"/>
          <w:szCs w:val="24"/>
          <w:lang w:val="uk-UA"/>
        </w:rPr>
        <w:lastRenderedPageBreak/>
        <w:t xml:space="preserve">8.2. Рівень поінформованості платників </w:t>
      </w:r>
      <w:r w:rsidRPr="00484FCC">
        <w:rPr>
          <w:rFonts w:ascii="Times New Roman" w:hAnsi="Times New Roman" w:cs="Times New Roman"/>
          <w:sz w:val="24"/>
          <w:szCs w:val="24"/>
          <w:shd w:val="clear" w:color="auto" w:fill="FFFFFF"/>
          <w:lang w:val="uk-UA"/>
        </w:rPr>
        <w:t>податку на нерухоме майно, відмінне від земельної ділянки,</w:t>
      </w:r>
      <w:r w:rsidRPr="00484FCC">
        <w:rPr>
          <w:rFonts w:ascii="Times New Roman" w:hAnsi="Times New Roman" w:cs="Times New Roman"/>
          <w:sz w:val="24"/>
          <w:szCs w:val="24"/>
          <w:lang w:val="uk-UA"/>
        </w:rPr>
        <w:t xml:space="preserve"> на території Южноукраїнської міської територіальної громади з основними положеннями регуляторного акту – високий, (офіційний сайт Южноукраїнської міської ради, газета «Контакт»,  бібліотеки міста).</w:t>
      </w:r>
      <w:r w:rsidRPr="00484FCC">
        <w:rPr>
          <w:rStyle w:val="a5"/>
          <w:rFonts w:ascii="Times New Roman" w:hAnsi="Times New Roman" w:cs="Times New Roman"/>
          <w:sz w:val="24"/>
          <w:szCs w:val="24"/>
          <w:u w:val="single"/>
          <w:lang w:val="uk-UA"/>
        </w:rPr>
        <w:t xml:space="preserve"> </w:t>
      </w:r>
    </w:p>
    <w:p w:rsidR="00484FCC" w:rsidRPr="00484FCC" w:rsidRDefault="00484FCC" w:rsidP="00484FCC">
      <w:pPr>
        <w:spacing w:before="120"/>
        <w:ind w:firstLine="720"/>
        <w:jc w:val="both"/>
        <w:rPr>
          <w:rFonts w:ascii="Times New Roman" w:hAnsi="Times New Roman" w:cs="Times New Roman"/>
          <w:b/>
          <w:sz w:val="24"/>
          <w:szCs w:val="24"/>
          <w:lang w:val="uk-UA"/>
        </w:rPr>
      </w:pPr>
      <w:r w:rsidRPr="00484FCC">
        <w:rPr>
          <w:rFonts w:ascii="Times New Roman" w:hAnsi="Times New Roman" w:cs="Times New Roman"/>
          <w:sz w:val="24"/>
          <w:szCs w:val="24"/>
          <w:lang w:val="uk-UA"/>
        </w:rPr>
        <w:t>9. Оцінка реалізації  регуляторного акту та ступеня досягнення визначених цілей:</w:t>
      </w:r>
      <w:r w:rsidRPr="00484FCC">
        <w:rPr>
          <w:rFonts w:ascii="Times New Roman" w:hAnsi="Times New Roman" w:cs="Times New Roman"/>
          <w:b/>
          <w:sz w:val="24"/>
          <w:szCs w:val="24"/>
          <w:lang w:val="uk-UA"/>
        </w:rPr>
        <w:t xml:space="preserve"> </w:t>
      </w:r>
    </w:p>
    <w:p w:rsidR="00484FCC" w:rsidRPr="00484FCC" w:rsidRDefault="00484FCC" w:rsidP="00484FCC">
      <w:pPr>
        <w:spacing w:before="120"/>
        <w:ind w:firstLine="709"/>
        <w:jc w:val="both"/>
        <w:rPr>
          <w:rFonts w:ascii="Times New Roman" w:hAnsi="Times New Roman" w:cs="Times New Roman"/>
          <w:sz w:val="24"/>
          <w:szCs w:val="24"/>
          <w:lang w:val="uk-UA"/>
        </w:rPr>
      </w:pPr>
      <w:r w:rsidRPr="00484FCC">
        <w:rPr>
          <w:rFonts w:ascii="Times New Roman" w:hAnsi="Times New Roman" w:cs="Times New Roman"/>
          <w:sz w:val="24"/>
          <w:szCs w:val="24"/>
          <w:lang w:val="uk-UA"/>
        </w:rPr>
        <w:t>У зв'язку із внесенням змін до підпункту 266.2.2 пункту 266.2 статті 266 Податкового кодексу України щодо виключення з об'єктів оподаткування – «будівлі промисловості, віднесені до групи «Будівлі промисловості та склади», ВП ПАЕС ДП «НАЕК «Енергоатом» звільнено від сплати податку на нерухоме майно, відмінне від земельної ділянки, що не залежить від дії регуляторного акту.</w:t>
      </w:r>
    </w:p>
    <w:p w:rsidR="00484FCC" w:rsidRPr="00484FCC" w:rsidRDefault="00484FCC" w:rsidP="00484FCC">
      <w:pPr>
        <w:spacing w:before="120"/>
        <w:ind w:firstLine="709"/>
        <w:jc w:val="both"/>
        <w:rPr>
          <w:rFonts w:ascii="Times New Roman" w:hAnsi="Times New Roman" w:cs="Times New Roman"/>
          <w:sz w:val="24"/>
          <w:szCs w:val="24"/>
          <w:lang w:val="uk-UA"/>
        </w:rPr>
      </w:pPr>
    </w:p>
    <w:p w:rsidR="00484FCC" w:rsidRPr="00484FCC" w:rsidRDefault="00484FCC" w:rsidP="00484FCC">
      <w:pPr>
        <w:spacing w:before="120"/>
        <w:ind w:firstLine="709"/>
        <w:jc w:val="both"/>
        <w:rPr>
          <w:rFonts w:ascii="Times New Roman" w:hAnsi="Times New Roman" w:cs="Times New Roman"/>
          <w:sz w:val="24"/>
          <w:szCs w:val="24"/>
          <w:lang w:val="uk-UA"/>
        </w:rPr>
      </w:pPr>
      <w:r w:rsidRPr="00484FCC">
        <w:rPr>
          <w:rFonts w:ascii="Times New Roman" w:hAnsi="Times New Roman" w:cs="Times New Roman"/>
          <w:sz w:val="24"/>
          <w:szCs w:val="24"/>
          <w:lang w:val="uk-UA"/>
        </w:rPr>
        <w:t xml:space="preserve">Питома надходжень до бюджету Южноукраїнської міської територіальної громади мала складати 60%, по іншим платниками податків план надходжень по податку перевиконано на 22%. Таким чином, цілі державного регулювання досягнуто повністю.  </w:t>
      </w:r>
    </w:p>
    <w:p w:rsidR="00484FCC" w:rsidRPr="00484FCC" w:rsidRDefault="00484FCC" w:rsidP="00484FCC">
      <w:pPr>
        <w:jc w:val="center"/>
        <w:rPr>
          <w:rFonts w:ascii="Times New Roman" w:hAnsi="Times New Roman" w:cs="Times New Roman"/>
          <w:sz w:val="24"/>
          <w:szCs w:val="24"/>
          <w:lang w:val="uk-UA"/>
        </w:rPr>
      </w:pPr>
    </w:p>
    <w:p w:rsidR="00484FCC" w:rsidRPr="00484FCC" w:rsidRDefault="00484FCC" w:rsidP="00484FCC">
      <w:pPr>
        <w:jc w:val="center"/>
        <w:rPr>
          <w:rFonts w:ascii="Times New Roman" w:hAnsi="Times New Roman" w:cs="Times New Roman"/>
          <w:sz w:val="24"/>
          <w:szCs w:val="24"/>
          <w:lang w:val="uk-UA"/>
        </w:rPr>
      </w:pPr>
    </w:p>
    <w:p w:rsidR="00484FCC" w:rsidRPr="00484FCC" w:rsidRDefault="00484FCC" w:rsidP="00484FCC">
      <w:pPr>
        <w:jc w:val="center"/>
        <w:rPr>
          <w:rFonts w:ascii="Times New Roman" w:hAnsi="Times New Roman" w:cs="Times New Roman"/>
          <w:sz w:val="24"/>
          <w:szCs w:val="24"/>
          <w:lang w:val="uk-UA"/>
        </w:rPr>
      </w:pPr>
      <w:r w:rsidRPr="00484FCC">
        <w:rPr>
          <w:rFonts w:ascii="Times New Roman" w:hAnsi="Times New Roman" w:cs="Times New Roman"/>
          <w:sz w:val="24"/>
          <w:szCs w:val="24"/>
          <w:lang w:val="uk-UA"/>
        </w:rPr>
        <w:t>Секретар міської ради</w:t>
      </w:r>
      <w:r w:rsidRPr="00484FCC">
        <w:rPr>
          <w:rFonts w:ascii="Times New Roman" w:hAnsi="Times New Roman" w:cs="Times New Roman"/>
          <w:sz w:val="24"/>
          <w:szCs w:val="24"/>
          <w:lang w:val="uk-UA"/>
        </w:rPr>
        <w:tab/>
      </w:r>
      <w:r w:rsidRPr="00484FCC">
        <w:rPr>
          <w:rFonts w:ascii="Times New Roman" w:hAnsi="Times New Roman" w:cs="Times New Roman"/>
          <w:sz w:val="24"/>
          <w:szCs w:val="24"/>
          <w:lang w:val="uk-UA"/>
        </w:rPr>
        <w:tab/>
      </w:r>
      <w:r w:rsidRPr="00484FCC">
        <w:rPr>
          <w:rFonts w:ascii="Times New Roman" w:hAnsi="Times New Roman" w:cs="Times New Roman"/>
          <w:sz w:val="24"/>
          <w:szCs w:val="24"/>
          <w:lang w:val="uk-UA"/>
        </w:rPr>
        <w:tab/>
      </w:r>
      <w:r w:rsidRPr="00484FCC">
        <w:rPr>
          <w:rFonts w:ascii="Times New Roman" w:hAnsi="Times New Roman" w:cs="Times New Roman"/>
          <w:sz w:val="24"/>
          <w:szCs w:val="24"/>
          <w:lang w:val="uk-UA"/>
        </w:rPr>
        <w:tab/>
      </w:r>
      <w:r w:rsidRPr="00484FCC">
        <w:rPr>
          <w:rFonts w:ascii="Times New Roman" w:hAnsi="Times New Roman" w:cs="Times New Roman"/>
          <w:sz w:val="24"/>
          <w:szCs w:val="24"/>
          <w:lang w:val="uk-UA"/>
        </w:rPr>
        <w:tab/>
        <w:t>Олександр АКУЛЕНКО</w:t>
      </w:r>
    </w:p>
    <w:p w:rsidR="00484FCC" w:rsidRPr="00484FCC" w:rsidRDefault="00484FCC" w:rsidP="00484FCC">
      <w:pPr>
        <w:jc w:val="both"/>
        <w:rPr>
          <w:rFonts w:ascii="Times New Roman" w:hAnsi="Times New Roman" w:cs="Times New Roman"/>
          <w:sz w:val="24"/>
          <w:szCs w:val="24"/>
          <w:lang w:val="uk-UA"/>
        </w:rPr>
      </w:pPr>
    </w:p>
    <w:p w:rsidR="00484FCC" w:rsidRPr="00484FCC" w:rsidRDefault="00484FCC" w:rsidP="00484FCC">
      <w:pPr>
        <w:jc w:val="both"/>
        <w:rPr>
          <w:rFonts w:ascii="Times New Roman" w:hAnsi="Times New Roman" w:cs="Times New Roman"/>
          <w:sz w:val="24"/>
          <w:szCs w:val="24"/>
          <w:lang w:val="uk-UA"/>
        </w:rPr>
      </w:pPr>
    </w:p>
    <w:p w:rsidR="00484FCC" w:rsidRPr="00484FCC" w:rsidRDefault="00484FCC" w:rsidP="00484FCC">
      <w:pPr>
        <w:jc w:val="both"/>
        <w:rPr>
          <w:rFonts w:ascii="Times New Roman" w:hAnsi="Times New Roman" w:cs="Times New Roman"/>
          <w:sz w:val="24"/>
          <w:szCs w:val="24"/>
          <w:lang w:val="uk-UA"/>
        </w:rPr>
      </w:pPr>
    </w:p>
    <w:p w:rsidR="00484FCC" w:rsidRPr="00484FCC" w:rsidRDefault="00484FCC" w:rsidP="00484FCC">
      <w:pPr>
        <w:jc w:val="both"/>
        <w:rPr>
          <w:rFonts w:ascii="Times New Roman" w:hAnsi="Times New Roman" w:cs="Times New Roman"/>
          <w:lang w:val="uk-UA"/>
        </w:rPr>
      </w:pPr>
      <w:r w:rsidRPr="00484FCC">
        <w:rPr>
          <w:rFonts w:ascii="Times New Roman" w:hAnsi="Times New Roman" w:cs="Times New Roman"/>
          <w:lang w:val="uk-UA"/>
        </w:rPr>
        <w:t>Тетяна ТАЦІЄНКО,</w:t>
      </w:r>
    </w:p>
    <w:p w:rsidR="00484FCC" w:rsidRPr="00484FCC" w:rsidRDefault="00484FCC" w:rsidP="00484FCC">
      <w:pPr>
        <w:jc w:val="both"/>
        <w:rPr>
          <w:rFonts w:ascii="Times New Roman" w:hAnsi="Times New Roman" w:cs="Times New Roman"/>
          <w:lang w:val="uk-UA"/>
        </w:rPr>
      </w:pPr>
      <w:r w:rsidRPr="00484FCC">
        <w:rPr>
          <w:rFonts w:ascii="Times New Roman" w:hAnsi="Times New Roman" w:cs="Times New Roman"/>
          <w:lang w:val="uk-UA"/>
        </w:rPr>
        <w:t xml:space="preserve"> 5-74-24</w:t>
      </w:r>
    </w:p>
    <w:p w:rsidR="00484FCC" w:rsidRPr="00484FCC" w:rsidRDefault="00484FCC" w:rsidP="00484FCC">
      <w:pPr>
        <w:rPr>
          <w:rFonts w:ascii="Times New Roman" w:hAnsi="Times New Roman" w:cs="Times New Roman"/>
          <w:lang w:val="uk-UA"/>
        </w:rPr>
      </w:pPr>
    </w:p>
    <w:p w:rsidR="00484FCC" w:rsidRPr="00484FCC" w:rsidRDefault="00484FCC" w:rsidP="00484FCC">
      <w:pPr>
        <w:pStyle w:val="a3"/>
        <w:spacing w:before="120"/>
        <w:rPr>
          <w:szCs w:val="24"/>
        </w:rPr>
      </w:pPr>
    </w:p>
    <w:bookmarkEnd w:id="0"/>
    <w:p w:rsidR="00614EF5" w:rsidRPr="00484FCC" w:rsidRDefault="00614EF5">
      <w:pPr>
        <w:rPr>
          <w:rFonts w:ascii="Times New Roman" w:hAnsi="Times New Roman" w:cs="Times New Roman"/>
        </w:rPr>
      </w:pPr>
    </w:p>
    <w:sectPr w:rsidR="00614EF5" w:rsidRPr="00484F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FCC"/>
    <w:rsid w:val="00484FCC"/>
    <w:rsid w:val="00614E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92D663-9593-49B5-A644-A263139B1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84FCC"/>
    <w:pPr>
      <w:spacing w:after="0" w:line="240" w:lineRule="auto"/>
      <w:jc w:val="center"/>
    </w:pPr>
    <w:rPr>
      <w:rFonts w:ascii="Times New Roman" w:eastAsia="Times New Roman" w:hAnsi="Times New Roman" w:cs="Times New Roman"/>
      <w:sz w:val="24"/>
      <w:szCs w:val="20"/>
      <w:lang w:val="uk-UA" w:eastAsia="ru-RU"/>
    </w:rPr>
  </w:style>
  <w:style w:type="character" w:customStyle="1" w:styleId="a4">
    <w:name w:val="Заголовок Знак"/>
    <w:basedOn w:val="a0"/>
    <w:link w:val="a3"/>
    <w:rsid w:val="00484FCC"/>
    <w:rPr>
      <w:rFonts w:ascii="Times New Roman" w:eastAsia="Times New Roman" w:hAnsi="Times New Roman" w:cs="Times New Roman"/>
      <w:sz w:val="24"/>
      <w:szCs w:val="20"/>
      <w:lang w:val="uk-UA" w:eastAsia="ru-RU"/>
    </w:rPr>
  </w:style>
  <w:style w:type="character" w:styleId="a5">
    <w:name w:val="Strong"/>
    <w:qFormat/>
    <w:rsid w:val="00484FCC"/>
    <w:rPr>
      <w:b/>
      <w:bCs/>
    </w:rPr>
  </w:style>
  <w:style w:type="table" w:styleId="a6">
    <w:name w:val="Table Grid"/>
    <w:basedOn w:val="a1"/>
    <w:uiPriority w:val="59"/>
    <w:rsid w:val="00484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0905552">
      <w:bodyDiv w:val="1"/>
      <w:marLeft w:val="0"/>
      <w:marRight w:val="0"/>
      <w:marTop w:val="0"/>
      <w:marBottom w:val="0"/>
      <w:divBdr>
        <w:top w:val="none" w:sz="0" w:space="0" w:color="auto"/>
        <w:left w:val="none" w:sz="0" w:space="0" w:color="auto"/>
        <w:bottom w:val="none" w:sz="0" w:space="0" w:color="auto"/>
        <w:right w:val="none" w:sz="0" w:space="0" w:color="auto"/>
      </w:divBdr>
      <w:divsChild>
        <w:div w:id="1705790612">
          <w:marLeft w:val="0"/>
          <w:marRight w:val="0"/>
          <w:marTop w:val="0"/>
          <w:marBottom w:val="0"/>
          <w:divBdr>
            <w:top w:val="none" w:sz="0" w:space="0" w:color="auto"/>
            <w:left w:val="none" w:sz="0" w:space="0" w:color="auto"/>
            <w:bottom w:val="none" w:sz="0" w:space="0" w:color="auto"/>
            <w:right w:val="none" w:sz="0" w:space="0" w:color="auto"/>
          </w:divBdr>
        </w:div>
        <w:div w:id="100498738">
          <w:marLeft w:val="0"/>
          <w:marRight w:val="0"/>
          <w:marTop w:val="120"/>
          <w:marBottom w:val="0"/>
          <w:divBdr>
            <w:top w:val="none" w:sz="0" w:space="0" w:color="auto"/>
            <w:left w:val="none" w:sz="0" w:space="0" w:color="auto"/>
            <w:bottom w:val="none" w:sz="0" w:space="0" w:color="auto"/>
            <w:right w:val="none" w:sz="0" w:space="0" w:color="auto"/>
          </w:divBdr>
          <w:divsChild>
            <w:div w:id="2049261319">
              <w:marLeft w:val="0"/>
              <w:marRight w:val="0"/>
              <w:marTop w:val="0"/>
              <w:marBottom w:val="0"/>
              <w:divBdr>
                <w:top w:val="none" w:sz="0" w:space="0" w:color="auto"/>
                <w:left w:val="none" w:sz="0" w:space="0" w:color="auto"/>
                <w:bottom w:val="none" w:sz="0" w:space="0" w:color="auto"/>
                <w:right w:val="none" w:sz="0" w:space="0" w:color="auto"/>
              </w:divBdr>
            </w:div>
          </w:divsChild>
        </w:div>
        <w:div w:id="1943225745">
          <w:marLeft w:val="0"/>
          <w:marRight w:val="0"/>
          <w:marTop w:val="120"/>
          <w:marBottom w:val="0"/>
          <w:divBdr>
            <w:top w:val="none" w:sz="0" w:space="0" w:color="auto"/>
            <w:left w:val="none" w:sz="0" w:space="0" w:color="auto"/>
            <w:bottom w:val="none" w:sz="0" w:space="0" w:color="auto"/>
            <w:right w:val="none" w:sz="0" w:space="0" w:color="auto"/>
          </w:divBdr>
          <w:divsChild>
            <w:div w:id="549463526">
              <w:marLeft w:val="0"/>
              <w:marRight w:val="0"/>
              <w:marTop w:val="0"/>
              <w:marBottom w:val="0"/>
              <w:divBdr>
                <w:top w:val="none" w:sz="0" w:space="0" w:color="auto"/>
                <w:left w:val="none" w:sz="0" w:space="0" w:color="auto"/>
                <w:bottom w:val="none" w:sz="0" w:space="0" w:color="auto"/>
                <w:right w:val="none" w:sz="0" w:space="0" w:color="auto"/>
              </w:divBdr>
            </w:div>
          </w:divsChild>
        </w:div>
        <w:div w:id="719742191">
          <w:marLeft w:val="0"/>
          <w:marRight w:val="0"/>
          <w:marTop w:val="120"/>
          <w:marBottom w:val="0"/>
          <w:divBdr>
            <w:top w:val="none" w:sz="0" w:space="0" w:color="auto"/>
            <w:left w:val="none" w:sz="0" w:space="0" w:color="auto"/>
            <w:bottom w:val="none" w:sz="0" w:space="0" w:color="auto"/>
            <w:right w:val="none" w:sz="0" w:space="0" w:color="auto"/>
          </w:divBdr>
          <w:divsChild>
            <w:div w:id="1987736705">
              <w:marLeft w:val="0"/>
              <w:marRight w:val="0"/>
              <w:marTop w:val="0"/>
              <w:marBottom w:val="0"/>
              <w:divBdr>
                <w:top w:val="none" w:sz="0" w:space="0" w:color="auto"/>
                <w:left w:val="none" w:sz="0" w:space="0" w:color="auto"/>
                <w:bottom w:val="none" w:sz="0" w:space="0" w:color="auto"/>
                <w:right w:val="none" w:sz="0" w:space="0" w:color="auto"/>
              </w:divBdr>
            </w:div>
          </w:divsChild>
        </w:div>
        <w:div w:id="13655506">
          <w:marLeft w:val="0"/>
          <w:marRight w:val="0"/>
          <w:marTop w:val="120"/>
          <w:marBottom w:val="0"/>
          <w:divBdr>
            <w:top w:val="none" w:sz="0" w:space="0" w:color="auto"/>
            <w:left w:val="none" w:sz="0" w:space="0" w:color="auto"/>
            <w:bottom w:val="none" w:sz="0" w:space="0" w:color="auto"/>
            <w:right w:val="none" w:sz="0" w:space="0" w:color="auto"/>
          </w:divBdr>
          <w:divsChild>
            <w:div w:id="1150174790">
              <w:marLeft w:val="0"/>
              <w:marRight w:val="0"/>
              <w:marTop w:val="0"/>
              <w:marBottom w:val="0"/>
              <w:divBdr>
                <w:top w:val="none" w:sz="0" w:space="0" w:color="auto"/>
                <w:left w:val="none" w:sz="0" w:space="0" w:color="auto"/>
                <w:bottom w:val="none" w:sz="0" w:space="0" w:color="auto"/>
                <w:right w:val="none" w:sz="0" w:space="0" w:color="auto"/>
              </w:divBdr>
            </w:div>
          </w:divsChild>
        </w:div>
        <w:div w:id="1607424872">
          <w:marLeft w:val="0"/>
          <w:marRight w:val="0"/>
          <w:marTop w:val="120"/>
          <w:marBottom w:val="0"/>
          <w:divBdr>
            <w:top w:val="none" w:sz="0" w:space="0" w:color="auto"/>
            <w:left w:val="none" w:sz="0" w:space="0" w:color="auto"/>
            <w:bottom w:val="none" w:sz="0" w:space="0" w:color="auto"/>
            <w:right w:val="none" w:sz="0" w:space="0" w:color="auto"/>
          </w:divBdr>
          <w:divsChild>
            <w:div w:id="146102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2560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2023-01-30T14:36:00Z</dcterms:created>
  <dcterms:modified xsi:type="dcterms:W3CDTF">2023-01-30T14:38:00Z</dcterms:modified>
</cp:coreProperties>
</file>